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8B" w:rsidRPr="00007466" w:rsidRDefault="00AD6E06">
      <w:pPr>
        <w:pStyle w:val="Standard"/>
        <w:tabs>
          <w:tab w:val="left" w:pos="10206"/>
        </w:tabs>
        <w:spacing w:after="0" w:line="276" w:lineRule="auto"/>
        <w:jc w:val="both"/>
      </w:pPr>
      <w:proofErr w:type="spellStart"/>
      <w:r w:rsidRPr="00007466">
        <w:rPr>
          <w:rFonts w:eastAsia="Times New Roman" w:cs="Calibri"/>
          <w:b/>
          <w:bCs/>
          <w:sz w:val="16"/>
          <w:szCs w:val="16"/>
        </w:rPr>
        <w:t>Бавенсио</w:t>
      </w:r>
      <w:proofErr w:type="spellEnd"/>
      <w:r w:rsidRPr="00007466">
        <w:rPr>
          <w:rFonts w:ascii="Symbol" w:eastAsia="Times New Roman" w:hAnsi="Symbol" w:cs="Calibri"/>
          <w:b/>
          <w:bCs/>
          <w:sz w:val="16"/>
          <w:szCs w:val="16"/>
          <w:vertAlign w:val="superscript"/>
        </w:rPr>
        <w:t></w:t>
      </w:r>
    </w:p>
    <w:p w:rsidR="00975C8B" w:rsidRPr="00007466" w:rsidRDefault="00AD6E06">
      <w:pPr>
        <w:pStyle w:val="Standard"/>
        <w:spacing w:after="0" w:line="276" w:lineRule="auto"/>
      </w:pPr>
      <w:r w:rsidRPr="00007466">
        <w:rPr>
          <w:rFonts w:eastAsia="Arial" w:cs="Calibri"/>
          <w:b/>
          <w:bCs/>
          <w:color w:val="231F20"/>
          <w:sz w:val="16"/>
          <w:szCs w:val="16"/>
          <w:lang w:eastAsia="ru-RU" w:bidi="ru-RU"/>
        </w:rPr>
        <w:t>РУ: ЛП-005886 с изменениями от 23.11.2020</w:t>
      </w:r>
      <w:r w:rsidR="0007759F" w:rsidRPr="00007466">
        <w:rPr>
          <w:rFonts w:eastAsia="Arial" w:cs="Calibri"/>
          <w:b/>
          <w:bCs/>
          <w:color w:val="231F20"/>
          <w:sz w:val="16"/>
          <w:szCs w:val="16"/>
          <w:lang w:eastAsia="ru-RU" w:bidi="ru-RU"/>
        </w:rPr>
        <w:t> </w:t>
      </w:r>
      <w:r w:rsidRPr="00007466">
        <w:rPr>
          <w:rFonts w:eastAsia="Arial" w:cs="Calibri"/>
          <w:b/>
          <w:bCs/>
          <w:color w:val="231F20"/>
          <w:sz w:val="16"/>
          <w:szCs w:val="16"/>
          <w:lang w:eastAsia="ru-RU" w:bidi="ru-RU"/>
        </w:rPr>
        <w:t>г.</w:t>
      </w:r>
    </w:p>
    <w:p w:rsidR="00975C8B" w:rsidRPr="00007466" w:rsidRDefault="00AD6E06">
      <w:pPr>
        <w:pStyle w:val="Standard"/>
        <w:tabs>
          <w:tab w:val="left" w:pos="10206"/>
        </w:tabs>
        <w:spacing w:line="276" w:lineRule="auto"/>
        <w:ind w:right="567"/>
        <w:jc w:val="both"/>
      </w:pPr>
      <w:r w:rsidRPr="00007466">
        <w:rPr>
          <w:rFonts w:eastAsia="Arial" w:cs="Calibri"/>
          <w:b/>
          <w:bCs/>
          <w:color w:val="231F20"/>
          <w:sz w:val="16"/>
          <w:szCs w:val="16"/>
          <w:lang w:eastAsia="ru-RU" w:bidi="ru-RU"/>
        </w:rPr>
        <w:t xml:space="preserve">МНН: </w:t>
      </w:r>
      <w:r w:rsidRPr="00007466">
        <w:rPr>
          <w:rFonts w:eastAsia="Times New Roman" w:cs="Calibri"/>
          <w:bCs/>
          <w:sz w:val="16"/>
          <w:szCs w:val="16"/>
        </w:rPr>
        <w:t>Авелумаб</w:t>
      </w:r>
    </w:p>
    <w:p w:rsidR="00975C8B" w:rsidRPr="00007466" w:rsidRDefault="00AD6E06">
      <w:pPr>
        <w:pStyle w:val="Standard"/>
        <w:tabs>
          <w:tab w:val="left" w:pos="10206"/>
        </w:tabs>
        <w:spacing w:line="276" w:lineRule="auto"/>
        <w:ind w:right="567"/>
        <w:jc w:val="both"/>
      </w:pPr>
      <w:r w:rsidRPr="00007466">
        <w:rPr>
          <w:rFonts w:eastAsia="Arial" w:cs="Calibri"/>
          <w:b/>
          <w:bCs/>
          <w:color w:val="231F20"/>
          <w:sz w:val="16"/>
          <w:szCs w:val="16"/>
          <w:lang w:eastAsia="ru-RU" w:bidi="ru-RU"/>
        </w:rPr>
        <w:t xml:space="preserve">Лекарственная форма: </w:t>
      </w:r>
      <w:r w:rsidRPr="00007466">
        <w:rPr>
          <w:rFonts w:eastAsia="Times New Roman" w:cs="Calibri"/>
          <w:bCs/>
          <w:sz w:val="16"/>
          <w:szCs w:val="16"/>
        </w:rPr>
        <w:t>ко</w:t>
      </w:r>
      <w:bookmarkStart w:id="0" w:name="_GoBack"/>
      <w:bookmarkEnd w:id="0"/>
      <w:r w:rsidRPr="00007466">
        <w:rPr>
          <w:rFonts w:eastAsia="Times New Roman" w:cs="Calibri"/>
          <w:bCs/>
          <w:sz w:val="16"/>
          <w:szCs w:val="16"/>
        </w:rPr>
        <w:t>нцентрат для приготовления раствора для инфузий</w:t>
      </w:r>
    </w:p>
    <w:p w:rsidR="00975C8B" w:rsidRPr="00007466" w:rsidRDefault="00AD6E06">
      <w:pPr>
        <w:pStyle w:val="Standard"/>
        <w:tabs>
          <w:tab w:val="left" w:pos="10206"/>
        </w:tabs>
        <w:spacing w:line="276" w:lineRule="auto"/>
        <w:ind w:right="567"/>
        <w:jc w:val="both"/>
      </w:pPr>
      <w:r w:rsidRPr="00007466">
        <w:rPr>
          <w:rFonts w:eastAsia="Times New Roman" w:cs="Calibri"/>
          <w:b/>
          <w:sz w:val="16"/>
          <w:szCs w:val="16"/>
        </w:rPr>
        <w:t>Состав</w:t>
      </w:r>
    </w:p>
    <w:p w:rsidR="00975C8B" w:rsidRPr="00007466" w:rsidRDefault="00AD6E06">
      <w:pPr>
        <w:pStyle w:val="Standard"/>
        <w:tabs>
          <w:tab w:val="left" w:pos="10206"/>
        </w:tabs>
        <w:spacing w:line="276" w:lineRule="auto"/>
        <w:ind w:right="567"/>
        <w:jc w:val="both"/>
      </w:pPr>
      <w:r w:rsidRPr="00007466">
        <w:rPr>
          <w:rFonts w:eastAsia="Times New Roman" w:cs="Calibri"/>
          <w:bCs/>
          <w:sz w:val="16"/>
          <w:szCs w:val="16"/>
        </w:rPr>
        <w:t>1 флакон содержит</w:t>
      </w:r>
    </w:p>
    <w:p w:rsidR="00975C8B" w:rsidRPr="00007466" w:rsidRDefault="00AD6E06">
      <w:pPr>
        <w:pStyle w:val="Standard"/>
        <w:tabs>
          <w:tab w:val="left" w:pos="10206"/>
        </w:tabs>
        <w:spacing w:line="276" w:lineRule="auto"/>
        <w:ind w:right="567"/>
        <w:jc w:val="both"/>
      </w:pPr>
      <w:r w:rsidRPr="00007466">
        <w:rPr>
          <w:rFonts w:eastAsia="Times New Roman" w:cs="Calibri"/>
          <w:bCs/>
          <w:sz w:val="16"/>
          <w:szCs w:val="16"/>
        </w:rPr>
        <w:t xml:space="preserve"> действующее вещество: авелумаб 200,0</w:t>
      </w:r>
      <w:r w:rsidR="00631F43" w:rsidRPr="00007466">
        <w:rPr>
          <w:rFonts w:eastAsia="Times New Roman" w:cs="Calibri"/>
          <w:bCs/>
          <w:sz w:val="16"/>
          <w:szCs w:val="16"/>
        </w:rPr>
        <w:t> </w:t>
      </w:r>
      <w:r w:rsidRPr="00007466">
        <w:rPr>
          <w:rFonts w:eastAsia="Times New Roman" w:cs="Calibri"/>
          <w:bCs/>
          <w:sz w:val="16"/>
          <w:szCs w:val="16"/>
        </w:rPr>
        <w:t>мг, вспомогательные вещества: D-маннитол, ледяная уксусная кислота, полисорбат 20, натрия гидроксид, вода для инъекций</w:t>
      </w:r>
    </w:p>
    <w:p w:rsidR="00975C8B" w:rsidRPr="00007466" w:rsidRDefault="00AD6E06">
      <w:pPr>
        <w:pStyle w:val="Standard"/>
        <w:tabs>
          <w:tab w:val="left" w:pos="10206"/>
        </w:tabs>
        <w:spacing w:line="276" w:lineRule="auto"/>
        <w:ind w:right="567"/>
        <w:jc w:val="both"/>
      </w:pPr>
      <w:r w:rsidRPr="00007466">
        <w:rPr>
          <w:rFonts w:eastAsia="Times New Roman" w:cs="Calibri"/>
          <w:b/>
          <w:bCs/>
          <w:sz w:val="16"/>
          <w:szCs w:val="16"/>
        </w:rPr>
        <w:t>Показания к применению</w:t>
      </w:r>
    </w:p>
    <w:p w:rsidR="00975C8B" w:rsidRPr="00007466" w:rsidRDefault="00631F43">
      <w:pPr>
        <w:pStyle w:val="Standard"/>
        <w:tabs>
          <w:tab w:val="left" w:pos="10206"/>
        </w:tabs>
        <w:spacing w:line="360" w:lineRule="auto"/>
        <w:ind w:right="50"/>
        <w:jc w:val="both"/>
      </w:pPr>
      <w:r w:rsidRPr="00007466">
        <w:rPr>
          <w:rFonts w:eastAsia="Times New Roman" w:cs="Calibri"/>
          <w:bCs/>
          <w:sz w:val="16"/>
          <w:szCs w:val="16"/>
        </w:rPr>
        <w:t>–</w:t>
      </w:r>
      <w:r w:rsidR="00AD6E06" w:rsidRPr="00007466">
        <w:rPr>
          <w:rFonts w:eastAsia="Times New Roman" w:cs="Calibri"/>
          <w:bCs/>
          <w:sz w:val="16"/>
          <w:szCs w:val="16"/>
        </w:rPr>
        <w:t xml:space="preserve"> Монотерапия у взрослых ранее леченных пациентов с метастатической карциномой Меркеля (МКМ)</w:t>
      </w:r>
      <w:r w:rsidRPr="00007466">
        <w:rPr>
          <w:rFonts w:eastAsia="Times New Roman" w:cs="Calibri"/>
          <w:sz w:val="16"/>
          <w:szCs w:val="16"/>
          <w:lang w:eastAsia="ru-RU"/>
        </w:rPr>
        <w:t>.</w:t>
      </w:r>
    </w:p>
    <w:p w:rsidR="00975C8B" w:rsidRPr="00007466" w:rsidRDefault="00631F43">
      <w:pPr>
        <w:pStyle w:val="Standard"/>
        <w:spacing w:line="360" w:lineRule="auto"/>
        <w:jc w:val="both"/>
      </w:pPr>
      <w:r w:rsidRPr="00007466">
        <w:rPr>
          <w:rFonts w:eastAsia="Times New Roman" w:cs="Calibri"/>
          <w:sz w:val="16"/>
          <w:szCs w:val="16"/>
          <w:lang w:eastAsia="ru-RU"/>
        </w:rPr>
        <w:t>–</w:t>
      </w:r>
      <w:r w:rsidR="00AD6E06" w:rsidRPr="00007466">
        <w:rPr>
          <w:rFonts w:eastAsia="Times New Roman" w:cs="Calibri"/>
          <w:sz w:val="16"/>
          <w:szCs w:val="16"/>
          <w:lang w:eastAsia="ru-RU"/>
        </w:rPr>
        <w:t xml:space="preserve"> В комбинации с акситинибом в качестве терапии первой линии при распространенном почечно-клеточном раке у взрослых.</w:t>
      </w:r>
    </w:p>
    <w:p w:rsidR="00975C8B" w:rsidRPr="00007466" w:rsidRDefault="00AD6E06">
      <w:pPr>
        <w:pStyle w:val="Standard"/>
        <w:tabs>
          <w:tab w:val="left" w:pos="10206"/>
        </w:tabs>
        <w:spacing w:line="276" w:lineRule="auto"/>
        <w:ind w:right="50"/>
        <w:jc w:val="both"/>
      </w:pPr>
      <w:r w:rsidRPr="00007466">
        <w:rPr>
          <w:rFonts w:eastAsia="Times New Roman" w:cs="Calibri"/>
          <w:b/>
          <w:bCs/>
          <w:sz w:val="16"/>
          <w:szCs w:val="16"/>
        </w:rPr>
        <w:t>Противопоказания</w:t>
      </w:r>
    </w:p>
    <w:p w:rsidR="00975C8B" w:rsidRPr="00007466" w:rsidRDefault="00AD6E06">
      <w:pPr>
        <w:pStyle w:val="a6"/>
        <w:numPr>
          <w:ilvl w:val="0"/>
          <w:numId w:val="4"/>
        </w:numPr>
        <w:tabs>
          <w:tab w:val="left" w:pos="10632"/>
        </w:tabs>
        <w:spacing w:line="276" w:lineRule="auto"/>
        <w:ind w:left="426" w:right="50" w:hanging="426"/>
        <w:jc w:val="both"/>
      </w:pPr>
      <w:r w:rsidRPr="00007466">
        <w:rPr>
          <w:rFonts w:eastAsia="Times New Roman" w:cs="Calibri"/>
          <w:bCs/>
          <w:sz w:val="16"/>
          <w:szCs w:val="16"/>
        </w:rPr>
        <w:t>Гиперчувствительность к препарату БАВЕНСИО</w:t>
      </w:r>
      <w:r w:rsidRPr="00007466">
        <w:rPr>
          <w:rFonts w:eastAsia="Times New Roman" w:cs="Calibri"/>
          <w:bCs/>
          <w:sz w:val="16"/>
          <w:szCs w:val="16"/>
          <w:vertAlign w:val="superscript"/>
        </w:rPr>
        <w:t>®</w:t>
      </w:r>
      <w:r w:rsidRPr="00007466">
        <w:rPr>
          <w:rFonts w:eastAsia="Times New Roman" w:cs="Calibri"/>
          <w:bCs/>
          <w:sz w:val="16"/>
          <w:szCs w:val="16"/>
        </w:rPr>
        <w:t xml:space="preserve"> или любому компоненту препарата в анамнезе</w:t>
      </w:r>
      <w:r w:rsidR="007F2758" w:rsidRPr="00007466">
        <w:rPr>
          <w:rFonts w:eastAsia="Times New Roman" w:cs="Calibri"/>
          <w:bCs/>
          <w:sz w:val="16"/>
          <w:szCs w:val="16"/>
        </w:rPr>
        <w:t>.</w:t>
      </w:r>
    </w:p>
    <w:p w:rsidR="00975C8B" w:rsidRPr="00007466" w:rsidRDefault="00AD6E06">
      <w:pPr>
        <w:pStyle w:val="a6"/>
        <w:numPr>
          <w:ilvl w:val="0"/>
          <w:numId w:val="2"/>
        </w:numPr>
        <w:tabs>
          <w:tab w:val="left" w:pos="10632"/>
        </w:tabs>
        <w:spacing w:line="276" w:lineRule="auto"/>
        <w:ind w:left="426" w:right="50" w:hanging="426"/>
        <w:jc w:val="both"/>
      </w:pPr>
      <w:r w:rsidRPr="00007466">
        <w:rPr>
          <w:rFonts w:eastAsia="Times New Roman" w:cs="Calibri"/>
          <w:bCs/>
          <w:sz w:val="16"/>
          <w:szCs w:val="16"/>
        </w:rPr>
        <w:t>Детский возраст до 18 лет</w:t>
      </w:r>
      <w:r w:rsidR="007F2758" w:rsidRPr="00007466">
        <w:rPr>
          <w:rFonts w:eastAsia="Times New Roman" w:cs="Calibri"/>
          <w:bCs/>
          <w:sz w:val="16"/>
          <w:szCs w:val="16"/>
        </w:rPr>
        <w:t>.</w:t>
      </w:r>
    </w:p>
    <w:p w:rsidR="00975C8B" w:rsidRPr="00007466" w:rsidRDefault="00AD6E06">
      <w:pPr>
        <w:pStyle w:val="a6"/>
        <w:numPr>
          <w:ilvl w:val="0"/>
          <w:numId w:val="2"/>
        </w:numPr>
        <w:tabs>
          <w:tab w:val="left" w:pos="10632"/>
        </w:tabs>
        <w:spacing w:line="276" w:lineRule="auto"/>
        <w:ind w:left="426" w:right="50" w:hanging="426"/>
        <w:jc w:val="both"/>
      </w:pPr>
      <w:r w:rsidRPr="00007466">
        <w:rPr>
          <w:rFonts w:eastAsia="Times New Roman" w:cs="Calibri"/>
          <w:bCs/>
          <w:sz w:val="16"/>
          <w:szCs w:val="16"/>
        </w:rPr>
        <w:t>Нарушение функции почек и печени тяжелой степени тяжести.</w:t>
      </w:r>
    </w:p>
    <w:p w:rsidR="00975C8B" w:rsidRPr="00007466" w:rsidRDefault="00AD6E06">
      <w:pPr>
        <w:pStyle w:val="Standard"/>
        <w:tabs>
          <w:tab w:val="left" w:pos="10206"/>
        </w:tabs>
        <w:spacing w:line="276" w:lineRule="auto"/>
        <w:ind w:right="50"/>
        <w:jc w:val="both"/>
      </w:pPr>
      <w:r w:rsidRPr="00007466">
        <w:rPr>
          <w:rFonts w:eastAsia="Times New Roman" w:cs="Calibri"/>
          <w:b/>
          <w:bCs/>
          <w:sz w:val="16"/>
          <w:szCs w:val="16"/>
        </w:rPr>
        <w:t>Способ применения и дозы</w:t>
      </w:r>
    </w:p>
    <w:p w:rsidR="00975C8B" w:rsidRPr="00007466" w:rsidRDefault="00AD6E06">
      <w:pPr>
        <w:pStyle w:val="Standard"/>
        <w:tabs>
          <w:tab w:val="left" w:pos="10206"/>
        </w:tabs>
        <w:spacing w:line="360" w:lineRule="auto"/>
        <w:ind w:right="50"/>
        <w:jc w:val="both"/>
      </w:pPr>
      <w:r w:rsidRPr="00007466">
        <w:rPr>
          <w:rFonts w:eastAsia="Times New Roman" w:cs="Calibri"/>
          <w:bCs/>
          <w:sz w:val="16"/>
          <w:szCs w:val="16"/>
        </w:rPr>
        <w:t>Терапия должна назначаться и контролироваться врачом, имеющим опыт лечения онкологических заболеваний. Рекомендуемая доза препарата БАВЕНСИО</w:t>
      </w:r>
      <w:r w:rsidRPr="00007466">
        <w:rPr>
          <w:rFonts w:eastAsia="Times New Roman" w:cs="Calibri"/>
          <w:bCs/>
          <w:sz w:val="16"/>
          <w:szCs w:val="16"/>
          <w:vertAlign w:val="superscript"/>
        </w:rPr>
        <w:t xml:space="preserve">® </w:t>
      </w:r>
      <w:r w:rsidRPr="00007466">
        <w:rPr>
          <w:rFonts w:eastAsia="Times New Roman" w:cs="Calibri"/>
          <w:bCs/>
          <w:sz w:val="16"/>
          <w:szCs w:val="16"/>
        </w:rPr>
        <w:t>при монотерапии составляет 800</w:t>
      </w:r>
      <w:r w:rsidR="007F2758" w:rsidRPr="00007466">
        <w:rPr>
          <w:rFonts w:eastAsia="Times New Roman" w:cs="Calibri"/>
          <w:bCs/>
          <w:sz w:val="16"/>
          <w:szCs w:val="16"/>
        </w:rPr>
        <w:t> </w:t>
      </w:r>
      <w:r w:rsidRPr="00007466">
        <w:rPr>
          <w:rFonts w:eastAsia="Times New Roman" w:cs="Calibri"/>
          <w:bCs/>
          <w:sz w:val="16"/>
          <w:szCs w:val="16"/>
        </w:rPr>
        <w:t>мг внутривенно в</w:t>
      </w:r>
      <w:r w:rsidR="007F2758" w:rsidRPr="00007466">
        <w:rPr>
          <w:rFonts w:eastAsia="Times New Roman" w:cs="Calibri"/>
          <w:bCs/>
          <w:sz w:val="16"/>
          <w:szCs w:val="16"/>
        </w:rPr>
        <w:t> </w:t>
      </w:r>
      <w:r w:rsidRPr="00007466">
        <w:rPr>
          <w:rFonts w:eastAsia="Times New Roman" w:cs="Calibri"/>
          <w:bCs/>
          <w:sz w:val="16"/>
          <w:szCs w:val="16"/>
        </w:rPr>
        <w:t>течение 60</w:t>
      </w:r>
      <w:r w:rsidR="007F2758" w:rsidRPr="00007466">
        <w:rPr>
          <w:rFonts w:eastAsia="Times New Roman" w:cs="Calibri"/>
          <w:bCs/>
          <w:sz w:val="16"/>
          <w:szCs w:val="16"/>
        </w:rPr>
        <w:t> </w:t>
      </w:r>
      <w:r w:rsidRPr="00007466">
        <w:rPr>
          <w:rFonts w:eastAsia="Times New Roman" w:cs="Calibri"/>
          <w:bCs/>
          <w:sz w:val="16"/>
          <w:szCs w:val="16"/>
        </w:rPr>
        <w:t>минут каждые 2</w:t>
      </w:r>
      <w:r w:rsidR="007F2758" w:rsidRPr="00007466">
        <w:rPr>
          <w:rFonts w:eastAsia="Times New Roman" w:cs="Calibri"/>
          <w:bCs/>
          <w:sz w:val="16"/>
          <w:szCs w:val="16"/>
        </w:rPr>
        <w:t> </w:t>
      </w:r>
      <w:r w:rsidRPr="00007466">
        <w:rPr>
          <w:rFonts w:eastAsia="Times New Roman" w:cs="Calibri"/>
          <w:bCs/>
          <w:sz w:val="16"/>
          <w:szCs w:val="16"/>
        </w:rPr>
        <w:t>недели. Применение препарата БАВЕНСИО</w:t>
      </w:r>
      <w:r w:rsidRPr="00007466">
        <w:rPr>
          <w:rFonts w:eastAsia="Times New Roman" w:cs="Calibri"/>
          <w:bCs/>
          <w:sz w:val="16"/>
          <w:szCs w:val="16"/>
          <w:vertAlign w:val="superscript"/>
        </w:rPr>
        <w:t>®</w:t>
      </w:r>
      <w:r w:rsidRPr="00007466">
        <w:rPr>
          <w:rFonts w:eastAsia="Times New Roman" w:cs="Calibri"/>
          <w:bCs/>
          <w:sz w:val="16"/>
          <w:szCs w:val="16"/>
        </w:rPr>
        <w:t xml:space="preserve"> следует продолжать в соответствии с рекомендуемой схемой до прогрессирования заболевания или возникновения неприемлемых токсических эффектов.</w:t>
      </w:r>
    </w:p>
    <w:p w:rsidR="00975C8B" w:rsidRPr="00007466" w:rsidRDefault="00AD6E06">
      <w:pPr>
        <w:pStyle w:val="Standard"/>
        <w:tabs>
          <w:tab w:val="left" w:pos="10206"/>
        </w:tabs>
        <w:spacing w:line="360" w:lineRule="auto"/>
        <w:ind w:right="50"/>
        <w:jc w:val="both"/>
      </w:pPr>
      <w:r w:rsidRPr="00007466">
        <w:rPr>
          <w:rFonts w:eastAsia="Times New Roman" w:cs="Calibri"/>
          <w:bCs/>
          <w:sz w:val="16"/>
          <w:szCs w:val="16"/>
        </w:rPr>
        <w:t xml:space="preserve">Рекомендуемая доза в комбинации с препаратом акситиниб </w:t>
      </w:r>
      <w:r w:rsidR="007F2758" w:rsidRPr="00007466">
        <w:rPr>
          <w:rFonts w:eastAsia="Times New Roman" w:cs="Calibri"/>
          <w:bCs/>
          <w:sz w:val="16"/>
          <w:szCs w:val="16"/>
        </w:rPr>
        <w:t>–</w:t>
      </w:r>
      <w:r w:rsidRPr="00007466">
        <w:rPr>
          <w:rFonts w:eastAsia="Times New Roman" w:cs="Calibri"/>
          <w:bCs/>
          <w:sz w:val="16"/>
          <w:szCs w:val="16"/>
        </w:rPr>
        <w:t xml:space="preserve"> 800</w:t>
      </w:r>
      <w:r w:rsidR="007F2758" w:rsidRPr="00007466">
        <w:rPr>
          <w:rFonts w:eastAsia="Times New Roman" w:cs="Calibri"/>
          <w:bCs/>
          <w:sz w:val="16"/>
          <w:szCs w:val="16"/>
        </w:rPr>
        <w:t> </w:t>
      </w:r>
      <w:r w:rsidRPr="00007466">
        <w:rPr>
          <w:rFonts w:eastAsia="Times New Roman" w:cs="Calibri"/>
          <w:bCs/>
          <w:sz w:val="16"/>
          <w:szCs w:val="16"/>
        </w:rPr>
        <w:t>мг препарата БАВЕНСИО</w:t>
      </w:r>
      <w:r w:rsidRPr="00007466">
        <w:rPr>
          <w:rFonts w:eastAsia="Times New Roman" w:cs="Calibri"/>
          <w:bCs/>
          <w:sz w:val="16"/>
          <w:szCs w:val="16"/>
          <w:vertAlign w:val="superscript"/>
        </w:rPr>
        <w:t xml:space="preserve">® </w:t>
      </w:r>
      <w:r w:rsidRPr="00007466">
        <w:rPr>
          <w:rFonts w:eastAsia="Times New Roman" w:cs="Calibri"/>
          <w:bCs/>
          <w:sz w:val="16"/>
          <w:szCs w:val="16"/>
        </w:rPr>
        <w:t>внутривенно в</w:t>
      </w:r>
      <w:r w:rsidR="007F2758" w:rsidRPr="00007466">
        <w:rPr>
          <w:rFonts w:eastAsia="Times New Roman" w:cs="Calibri"/>
          <w:bCs/>
          <w:sz w:val="16"/>
          <w:szCs w:val="16"/>
        </w:rPr>
        <w:t> </w:t>
      </w:r>
      <w:r w:rsidRPr="00007466">
        <w:rPr>
          <w:rFonts w:eastAsia="Times New Roman" w:cs="Calibri"/>
          <w:bCs/>
          <w:sz w:val="16"/>
          <w:szCs w:val="16"/>
        </w:rPr>
        <w:t>течение 60</w:t>
      </w:r>
      <w:r w:rsidR="007F2758" w:rsidRPr="00007466">
        <w:rPr>
          <w:rFonts w:eastAsia="Times New Roman" w:cs="Calibri"/>
          <w:bCs/>
          <w:sz w:val="16"/>
          <w:szCs w:val="16"/>
        </w:rPr>
        <w:t> </w:t>
      </w:r>
      <w:r w:rsidRPr="00007466">
        <w:rPr>
          <w:rFonts w:eastAsia="Times New Roman" w:cs="Calibri"/>
          <w:bCs/>
          <w:sz w:val="16"/>
          <w:szCs w:val="16"/>
        </w:rPr>
        <w:t>минут каждые 2</w:t>
      </w:r>
      <w:r w:rsidR="007F2758" w:rsidRPr="00007466">
        <w:rPr>
          <w:rFonts w:eastAsia="Times New Roman" w:cs="Calibri"/>
          <w:bCs/>
          <w:sz w:val="16"/>
          <w:szCs w:val="16"/>
        </w:rPr>
        <w:t> </w:t>
      </w:r>
      <w:r w:rsidRPr="00007466">
        <w:rPr>
          <w:rFonts w:eastAsia="Times New Roman" w:cs="Calibri"/>
          <w:bCs/>
          <w:sz w:val="16"/>
          <w:szCs w:val="16"/>
        </w:rPr>
        <w:t>недели и</w:t>
      </w:r>
      <w:r w:rsidR="007F2758" w:rsidRPr="00007466">
        <w:rPr>
          <w:rFonts w:eastAsia="Times New Roman" w:cs="Calibri"/>
          <w:bCs/>
          <w:sz w:val="16"/>
          <w:szCs w:val="16"/>
        </w:rPr>
        <w:t> </w:t>
      </w:r>
      <w:r w:rsidRPr="00007466">
        <w:rPr>
          <w:rFonts w:eastAsia="Times New Roman" w:cs="Calibri"/>
          <w:bCs/>
          <w:sz w:val="16"/>
          <w:szCs w:val="16"/>
        </w:rPr>
        <w:t>5</w:t>
      </w:r>
      <w:r w:rsidR="007F2758" w:rsidRPr="00007466">
        <w:rPr>
          <w:rFonts w:eastAsia="Times New Roman" w:cs="Calibri"/>
          <w:bCs/>
          <w:sz w:val="16"/>
          <w:szCs w:val="16"/>
        </w:rPr>
        <w:t> </w:t>
      </w:r>
      <w:r w:rsidRPr="00007466">
        <w:rPr>
          <w:rFonts w:eastAsia="Times New Roman" w:cs="Calibri"/>
          <w:bCs/>
          <w:sz w:val="16"/>
          <w:szCs w:val="16"/>
        </w:rPr>
        <w:t>мг препарата акситиниб внутрь 2</w:t>
      </w:r>
      <w:r w:rsidR="007F2758" w:rsidRPr="00007466">
        <w:rPr>
          <w:rFonts w:eastAsia="Times New Roman" w:cs="Calibri"/>
          <w:bCs/>
          <w:sz w:val="16"/>
          <w:szCs w:val="16"/>
        </w:rPr>
        <w:t> </w:t>
      </w:r>
      <w:r w:rsidRPr="00007466">
        <w:rPr>
          <w:rFonts w:eastAsia="Times New Roman" w:cs="Calibri"/>
          <w:bCs/>
          <w:sz w:val="16"/>
          <w:szCs w:val="16"/>
        </w:rPr>
        <w:t>раза в сутки (с интервалом между приемами 12</w:t>
      </w:r>
      <w:r w:rsidR="007F2758" w:rsidRPr="00007466">
        <w:rPr>
          <w:rFonts w:eastAsia="Times New Roman" w:cs="Calibri"/>
          <w:bCs/>
          <w:sz w:val="16"/>
          <w:szCs w:val="16"/>
        </w:rPr>
        <w:t> </w:t>
      </w:r>
      <w:r w:rsidRPr="00007466">
        <w:rPr>
          <w:rFonts w:eastAsia="Times New Roman" w:cs="Calibri"/>
          <w:bCs/>
          <w:sz w:val="16"/>
          <w:szCs w:val="16"/>
        </w:rPr>
        <w:t>часов) вне зависимости от приема пищи, до прогрессирования заболевания или возникновения неприемлемых токсических эффектов.</w:t>
      </w:r>
    </w:p>
    <w:p w:rsidR="00975C8B" w:rsidRPr="00007466" w:rsidRDefault="00AD6E06">
      <w:pPr>
        <w:pStyle w:val="Standard"/>
        <w:spacing w:line="360" w:lineRule="auto"/>
        <w:jc w:val="both"/>
      </w:pPr>
      <w:r w:rsidRPr="00007466">
        <w:rPr>
          <w:rFonts w:eastAsia="Times New Roman" w:cs="Calibri"/>
          <w:bCs/>
          <w:sz w:val="16"/>
          <w:szCs w:val="16"/>
        </w:rPr>
        <w:t xml:space="preserve">Для получения информации о способе применения и дозе акситиниба – см. </w:t>
      </w:r>
      <w:r w:rsidR="007F2758" w:rsidRPr="00007466">
        <w:rPr>
          <w:rFonts w:eastAsia="Times New Roman" w:cs="Calibri"/>
          <w:bCs/>
          <w:sz w:val="16"/>
          <w:szCs w:val="16"/>
        </w:rPr>
        <w:t> инструкцию по применению препарата</w:t>
      </w:r>
      <w:r w:rsidRPr="00007466">
        <w:rPr>
          <w:rFonts w:eastAsia="Times New Roman" w:cs="Calibri"/>
          <w:bCs/>
          <w:sz w:val="16"/>
          <w:szCs w:val="16"/>
        </w:rPr>
        <w:t xml:space="preserve"> акситиниб.</w:t>
      </w:r>
    </w:p>
    <w:p w:rsidR="00975C8B" w:rsidRPr="00007466" w:rsidRDefault="00AD6E06">
      <w:pPr>
        <w:pStyle w:val="Standard"/>
        <w:tabs>
          <w:tab w:val="left" w:pos="10206"/>
        </w:tabs>
        <w:spacing w:line="360" w:lineRule="auto"/>
        <w:ind w:right="50"/>
        <w:jc w:val="both"/>
      </w:pPr>
      <w:r w:rsidRPr="00007466">
        <w:rPr>
          <w:rFonts w:eastAsia="Times New Roman" w:cs="Calibri"/>
          <w:b/>
          <w:bCs/>
          <w:i/>
          <w:sz w:val="16"/>
          <w:szCs w:val="16"/>
        </w:rPr>
        <w:t>Премедикация</w:t>
      </w:r>
    </w:p>
    <w:p w:rsidR="00975C8B" w:rsidRPr="00007466" w:rsidRDefault="00AD6E06">
      <w:pPr>
        <w:pStyle w:val="Standard"/>
        <w:tabs>
          <w:tab w:val="left" w:pos="10206"/>
        </w:tabs>
        <w:spacing w:line="360" w:lineRule="auto"/>
        <w:ind w:right="50"/>
        <w:jc w:val="both"/>
      </w:pPr>
      <w:r w:rsidRPr="00007466">
        <w:rPr>
          <w:rFonts w:eastAsia="Times New Roman" w:cs="Calibri"/>
          <w:bCs/>
          <w:sz w:val="16"/>
          <w:szCs w:val="16"/>
        </w:rPr>
        <w:t>Перед первыми 4</w:t>
      </w:r>
      <w:r w:rsidR="007F2758" w:rsidRPr="00007466">
        <w:rPr>
          <w:rFonts w:eastAsia="Times New Roman" w:cs="Calibri"/>
          <w:bCs/>
          <w:sz w:val="16"/>
          <w:szCs w:val="16"/>
        </w:rPr>
        <w:t> </w:t>
      </w:r>
      <w:r w:rsidRPr="00007466">
        <w:rPr>
          <w:rFonts w:eastAsia="Times New Roman" w:cs="Calibri"/>
          <w:bCs/>
          <w:sz w:val="16"/>
          <w:szCs w:val="16"/>
        </w:rPr>
        <w:t>инфузиями препарата БАВЕНСИО</w:t>
      </w:r>
      <w:r w:rsidRPr="00007466">
        <w:rPr>
          <w:rFonts w:eastAsia="Times New Roman" w:cs="Calibri"/>
          <w:bCs/>
          <w:sz w:val="16"/>
          <w:szCs w:val="16"/>
          <w:vertAlign w:val="superscript"/>
        </w:rPr>
        <w:t>®</w:t>
      </w:r>
      <w:r w:rsidRPr="00007466">
        <w:rPr>
          <w:rFonts w:eastAsia="Times New Roman" w:cs="Calibri"/>
          <w:bCs/>
          <w:sz w:val="16"/>
          <w:szCs w:val="16"/>
        </w:rPr>
        <w:t xml:space="preserve"> пациенту следует провести премедикацию антигистаминными средствами и парацетамолом. Если четвертая инфузия завершается без развития инфузионных реакций, премедикация перед введением последующих доз назначается по усмотрению врача.</w:t>
      </w:r>
    </w:p>
    <w:p w:rsidR="00975C8B" w:rsidRPr="00007466" w:rsidRDefault="00AD6E06">
      <w:pPr>
        <w:pStyle w:val="Standard"/>
        <w:tabs>
          <w:tab w:val="left" w:pos="10206"/>
        </w:tabs>
        <w:spacing w:line="360" w:lineRule="auto"/>
        <w:ind w:right="50"/>
        <w:jc w:val="both"/>
      </w:pPr>
      <w:r w:rsidRPr="00007466">
        <w:rPr>
          <w:rFonts w:eastAsia="Times New Roman" w:cs="Calibri"/>
          <w:b/>
          <w:bCs/>
          <w:i/>
          <w:sz w:val="16"/>
          <w:szCs w:val="16"/>
        </w:rPr>
        <w:t>Коррекция дозы</w:t>
      </w:r>
    </w:p>
    <w:p w:rsidR="00975C8B" w:rsidRPr="00007466" w:rsidRDefault="00AD6E06">
      <w:pPr>
        <w:pStyle w:val="Standard"/>
        <w:tabs>
          <w:tab w:val="left" w:pos="10206"/>
        </w:tabs>
        <w:spacing w:line="360" w:lineRule="auto"/>
        <w:ind w:right="50"/>
        <w:jc w:val="both"/>
      </w:pPr>
      <w:r w:rsidRPr="00007466">
        <w:rPr>
          <w:rFonts w:eastAsia="Times New Roman" w:cs="Calibri"/>
          <w:bCs/>
          <w:sz w:val="16"/>
          <w:szCs w:val="16"/>
        </w:rPr>
        <w:t>Повышение или снижение дозы препарата БАВЕНСИО</w:t>
      </w:r>
      <w:r w:rsidRPr="00007466">
        <w:rPr>
          <w:rFonts w:eastAsia="Times New Roman" w:cs="Calibri"/>
          <w:bCs/>
          <w:sz w:val="16"/>
          <w:szCs w:val="16"/>
          <w:vertAlign w:val="superscript"/>
        </w:rPr>
        <w:t>®</w:t>
      </w:r>
      <w:r w:rsidRPr="00007466">
        <w:rPr>
          <w:rFonts w:eastAsia="Times New Roman" w:cs="Calibri"/>
          <w:bCs/>
          <w:sz w:val="16"/>
          <w:szCs w:val="16"/>
        </w:rPr>
        <w:t xml:space="preserve"> не рекомендуется. С учетом индивидуальной безопасности и переносимости возможна задержка введения очередной дозы препарата или прерывание лечения.</w:t>
      </w:r>
    </w:p>
    <w:p w:rsidR="00975C8B" w:rsidRPr="00007466" w:rsidRDefault="00AD6E06">
      <w:pPr>
        <w:pStyle w:val="Standard"/>
        <w:tabs>
          <w:tab w:val="left" w:pos="10206"/>
        </w:tabs>
        <w:spacing w:after="0" w:line="276" w:lineRule="auto"/>
        <w:ind w:right="50"/>
        <w:jc w:val="both"/>
      </w:pPr>
      <w:r w:rsidRPr="00007466">
        <w:rPr>
          <w:rFonts w:eastAsia="Times New Roman" w:cs="Calibri"/>
          <w:b/>
          <w:bCs/>
          <w:sz w:val="16"/>
          <w:szCs w:val="16"/>
        </w:rPr>
        <w:t>Побочное действие</w:t>
      </w:r>
    </w:p>
    <w:p w:rsidR="00975C8B" w:rsidRPr="00007466" w:rsidRDefault="00AD6E06">
      <w:pPr>
        <w:pStyle w:val="Standard"/>
        <w:tabs>
          <w:tab w:val="left" w:pos="10206"/>
        </w:tabs>
        <w:ind w:right="50"/>
        <w:jc w:val="both"/>
      </w:pPr>
      <w:r w:rsidRPr="00007466">
        <w:rPr>
          <w:rFonts w:eastAsia="Times New Roman" w:cs="Calibri"/>
          <w:bCs/>
          <w:iCs/>
          <w:sz w:val="16"/>
          <w:szCs w:val="16"/>
        </w:rPr>
        <w:t>НР у пациентов, получавших терапию препаратом БАВЕНСИО® в ходе клинических исследований.</w:t>
      </w:r>
      <w:r w:rsidR="007F2758" w:rsidRPr="00007466">
        <w:rPr>
          <w:rFonts w:eastAsia="Times New Roman" w:cs="Calibri"/>
          <w:bCs/>
          <w:iCs/>
          <w:sz w:val="16"/>
          <w:szCs w:val="16"/>
        </w:rPr>
        <w:t xml:space="preserve"> </w:t>
      </w:r>
      <w:r w:rsidRPr="00007466">
        <w:rPr>
          <w:rStyle w:val="A00"/>
          <w:rFonts w:cs="Calibri"/>
          <w:bCs/>
          <w:sz w:val="16"/>
          <w:szCs w:val="16"/>
        </w:rPr>
        <w:t>Cледующие побочные явления отмечались часто (≥</w:t>
      </w:r>
      <w:r w:rsidR="007F2758" w:rsidRPr="00007466">
        <w:rPr>
          <w:rStyle w:val="A00"/>
          <w:rFonts w:cs="Calibri"/>
          <w:bCs/>
          <w:sz w:val="16"/>
          <w:szCs w:val="16"/>
        </w:rPr>
        <w:t> </w:t>
      </w:r>
      <w:r w:rsidRPr="00007466">
        <w:rPr>
          <w:rStyle w:val="A00"/>
          <w:rFonts w:cs="Calibri"/>
          <w:bCs/>
          <w:sz w:val="16"/>
          <w:szCs w:val="16"/>
        </w:rPr>
        <w:t>1</w:t>
      </w:r>
      <w:r w:rsidR="007F2758" w:rsidRPr="00007466">
        <w:rPr>
          <w:rStyle w:val="A00"/>
          <w:rFonts w:cs="Calibri"/>
          <w:bCs/>
          <w:sz w:val="16"/>
          <w:szCs w:val="16"/>
        </w:rPr>
        <w:t> </w:t>
      </w:r>
      <w:r w:rsidRPr="00007466">
        <w:rPr>
          <w:rStyle w:val="A00"/>
          <w:rFonts w:cs="Calibri"/>
          <w:bCs/>
          <w:sz w:val="16"/>
          <w:szCs w:val="16"/>
        </w:rPr>
        <w:t>% и &lt;</w:t>
      </w:r>
      <w:r w:rsidR="007F2758" w:rsidRPr="00007466">
        <w:rPr>
          <w:rStyle w:val="A00"/>
          <w:rFonts w:cs="Calibri"/>
          <w:bCs/>
          <w:sz w:val="16"/>
          <w:szCs w:val="16"/>
        </w:rPr>
        <w:t> </w:t>
      </w:r>
      <w:r w:rsidRPr="00007466">
        <w:rPr>
          <w:rStyle w:val="A00"/>
          <w:rFonts w:cs="Calibri"/>
          <w:bCs/>
          <w:sz w:val="16"/>
          <w:szCs w:val="16"/>
        </w:rPr>
        <w:t>10</w:t>
      </w:r>
      <w:r w:rsidR="007F2758" w:rsidRPr="00007466">
        <w:rPr>
          <w:rStyle w:val="A00"/>
          <w:rFonts w:cs="Calibri"/>
          <w:bCs/>
          <w:sz w:val="16"/>
          <w:szCs w:val="16"/>
        </w:rPr>
        <w:t> </w:t>
      </w:r>
      <w:r w:rsidRPr="00007466">
        <w:rPr>
          <w:rStyle w:val="A00"/>
          <w:rFonts w:cs="Calibri"/>
          <w:bCs/>
          <w:sz w:val="16"/>
          <w:szCs w:val="16"/>
        </w:rPr>
        <w:t>%) и очень часто (≥</w:t>
      </w:r>
      <w:r w:rsidR="007F2758" w:rsidRPr="00007466">
        <w:rPr>
          <w:rStyle w:val="A00"/>
          <w:rFonts w:cs="Calibri"/>
          <w:bCs/>
          <w:sz w:val="16"/>
          <w:szCs w:val="16"/>
        </w:rPr>
        <w:t> </w:t>
      </w:r>
      <w:r w:rsidRPr="00007466">
        <w:rPr>
          <w:rStyle w:val="A00"/>
          <w:rFonts w:cs="Calibri"/>
          <w:bCs/>
          <w:sz w:val="16"/>
          <w:szCs w:val="16"/>
        </w:rPr>
        <w:t>10</w:t>
      </w:r>
      <w:r w:rsidR="007F2758" w:rsidRPr="00007466">
        <w:rPr>
          <w:rStyle w:val="A00"/>
          <w:rFonts w:cs="Calibri"/>
          <w:bCs/>
          <w:sz w:val="16"/>
          <w:szCs w:val="16"/>
        </w:rPr>
        <w:t> </w:t>
      </w:r>
      <w:r w:rsidRPr="00007466">
        <w:rPr>
          <w:rStyle w:val="A00"/>
          <w:rFonts w:cs="Calibri"/>
          <w:bCs/>
          <w:sz w:val="16"/>
          <w:szCs w:val="16"/>
        </w:rPr>
        <w:t>%):</w:t>
      </w:r>
    </w:p>
    <w:p w:rsidR="00975C8B" w:rsidRPr="00007466" w:rsidRDefault="00975C8B">
      <w:pPr>
        <w:pStyle w:val="Standard"/>
        <w:tabs>
          <w:tab w:val="left" w:pos="10206"/>
        </w:tabs>
        <w:ind w:right="50"/>
        <w:jc w:val="both"/>
        <w:rPr>
          <w:rFonts w:eastAsia="Times New Roman" w:cs="Calibri"/>
          <w:bCs/>
          <w:sz w:val="16"/>
          <w:szCs w:val="16"/>
        </w:rPr>
      </w:pPr>
    </w:p>
    <w:tbl>
      <w:tblPr>
        <w:tblW w:w="9497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8"/>
        <w:gridCol w:w="5529"/>
      </w:tblGrid>
      <w:tr w:rsidR="00975C8B" w:rsidRPr="00007466">
        <w:trPr>
          <w:cantSplit/>
          <w:trHeight w:val="291"/>
          <w:tblHeader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b/>
                <w:sz w:val="16"/>
                <w:szCs w:val="16"/>
                <w:lang w:bidi="ru-RU"/>
              </w:rPr>
              <w:t>Частота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b/>
                <w:sz w:val="16"/>
                <w:szCs w:val="16"/>
                <w:lang w:bidi="ru-RU"/>
              </w:rPr>
              <w:t>Нежелательные реакции</w:t>
            </w:r>
          </w:p>
        </w:tc>
      </w:tr>
      <w:tr w:rsidR="00975C8B" w:rsidRPr="00007466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i/>
                <w:sz w:val="16"/>
                <w:szCs w:val="16"/>
                <w:lang w:bidi="ru-RU"/>
              </w:rPr>
              <w:t>Нарушения со стороны крови и лимфатической системы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 w:rsidP="007F2758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 xml:space="preserve">Анемия, </w:t>
            </w:r>
            <w:r w:rsidR="007F2758" w:rsidRPr="00007466">
              <w:rPr>
                <w:rFonts w:eastAsia="Calibri" w:cs="Calibri"/>
                <w:sz w:val="16"/>
                <w:szCs w:val="16"/>
                <w:lang w:bidi="ru-RU"/>
              </w:rPr>
              <w:t>т</w:t>
            </w: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ромбоцитопения</w:t>
            </w:r>
          </w:p>
        </w:tc>
      </w:tr>
      <w:tr w:rsidR="00975C8B" w:rsidRPr="00007466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i/>
                <w:sz w:val="16"/>
                <w:szCs w:val="16"/>
                <w:lang w:bidi="ru-RU"/>
              </w:rPr>
              <w:t>Нарушения со стороны иммунной системы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567"/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Times New Roman" w:cs="Calibri"/>
                <w:sz w:val="16"/>
                <w:szCs w:val="16"/>
                <w:lang w:bidi="ru-RU"/>
              </w:rPr>
              <w:t>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Реакция гиперчувствительности</w:t>
            </w:r>
          </w:p>
        </w:tc>
      </w:tr>
      <w:tr w:rsidR="00975C8B" w:rsidRPr="00007466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i/>
                <w:sz w:val="16"/>
                <w:szCs w:val="16"/>
                <w:lang w:bidi="ru-RU"/>
              </w:rPr>
              <w:lastRenderedPageBreak/>
              <w:t>Нарушения со стороны эндокринной системы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Очень 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Гипотиреоз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Гипертиреоз, надпочечниковая недостаточность, тиреоидит</w:t>
            </w:r>
          </w:p>
        </w:tc>
      </w:tr>
      <w:tr w:rsidR="00975C8B" w:rsidRPr="00007466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i/>
                <w:sz w:val="16"/>
                <w:szCs w:val="16"/>
                <w:lang w:bidi="ru-RU"/>
              </w:rPr>
              <w:t>Нарушения со стороны обмена веществ и питания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Очень 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Снижение аппетита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Гипергликемия</w:t>
            </w:r>
          </w:p>
        </w:tc>
      </w:tr>
      <w:tr w:rsidR="00975C8B" w:rsidRPr="00007466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i/>
                <w:sz w:val="16"/>
                <w:szCs w:val="16"/>
                <w:lang w:bidi="ru-RU"/>
              </w:rPr>
              <w:t>Нарушения со стороны нервной системы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567"/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Times New Roman" w:cs="Calibri"/>
                <w:sz w:val="16"/>
                <w:szCs w:val="16"/>
                <w:lang w:bidi="ru-RU"/>
              </w:rPr>
              <w:t>Очень 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Головная боль, головокружение,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567"/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Times New Roman" w:cs="Calibri"/>
                <w:sz w:val="16"/>
                <w:szCs w:val="16"/>
                <w:lang w:bidi="ru-RU"/>
              </w:rPr>
              <w:t>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Периферическая нейропатия</w:t>
            </w:r>
          </w:p>
        </w:tc>
      </w:tr>
      <w:tr w:rsidR="00975C8B" w:rsidRPr="00007466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i/>
                <w:sz w:val="16"/>
                <w:szCs w:val="16"/>
                <w:lang w:bidi="ru-RU"/>
              </w:rPr>
              <w:t>Нарушения со стороны сердечно-сосудистой системы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</w:rPr>
              <w:t>Очень 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Гипертензия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567"/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Times New Roman" w:cs="Calibri"/>
                <w:sz w:val="16"/>
                <w:szCs w:val="16"/>
                <w:lang w:bidi="ru-RU"/>
              </w:rPr>
              <w:t>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Гипотензия, гиперемия кожи</w:t>
            </w:r>
          </w:p>
        </w:tc>
      </w:tr>
      <w:tr w:rsidR="00975C8B" w:rsidRPr="00007466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i/>
                <w:sz w:val="16"/>
                <w:szCs w:val="16"/>
                <w:lang w:bidi="ru-RU"/>
              </w:rPr>
              <w:t>Нарушения со стороны дыхательной системы, органов грудной клетки и средостения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Очень 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Кашель, одышка, дисфония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Пневмонит</w:t>
            </w:r>
          </w:p>
        </w:tc>
      </w:tr>
      <w:tr w:rsidR="00975C8B" w:rsidRPr="00007466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i/>
                <w:sz w:val="16"/>
                <w:szCs w:val="16"/>
                <w:lang w:bidi="ru-RU"/>
              </w:rPr>
              <w:t>Нарушения со стороны желудочно-кишечного тракта</w:t>
            </w:r>
          </w:p>
        </w:tc>
      </w:tr>
      <w:tr w:rsidR="00975C8B" w:rsidRPr="00007466">
        <w:trPr>
          <w:trHeight w:val="252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Очень 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Тошнота, диарея, запор, рвота, боль в животе</w:t>
            </w:r>
          </w:p>
        </w:tc>
      </w:tr>
      <w:tr w:rsidR="00975C8B" w:rsidRPr="00007466">
        <w:trPr>
          <w:trHeight w:val="252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Сухость во рту, колит</w:t>
            </w:r>
          </w:p>
        </w:tc>
      </w:tr>
      <w:tr w:rsidR="00975C8B" w:rsidRPr="00007466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i/>
                <w:sz w:val="16"/>
                <w:szCs w:val="16"/>
                <w:lang w:bidi="ru-RU"/>
              </w:rPr>
              <w:t>Нарушения со стороны печени и желчевыводящих путей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</w:rPr>
              <w:t>Нарушения функции печени</w:t>
            </w:r>
          </w:p>
        </w:tc>
      </w:tr>
      <w:tr w:rsidR="00975C8B" w:rsidRPr="00007466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i/>
                <w:sz w:val="16"/>
                <w:szCs w:val="16"/>
                <w:lang w:bidi="ru-RU"/>
              </w:rPr>
              <w:t>Реакции со стороны кожи или подкожных тканей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Очень 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Сыпь, зуд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567"/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Times New Roman" w:cs="Calibri"/>
                <w:sz w:val="16"/>
                <w:szCs w:val="16"/>
                <w:lang w:bidi="ru-RU"/>
              </w:rPr>
              <w:t>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 w:rsidP="007F2758">
            <w:pPr>
              <w:pStyle w:val="Standard"/>
              <w:tabs>
                <w:tab w:val="left" w:pos="567"/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Times New Roman" w:cs="Calibri"/>
                <w:sz w:val="16"/>
                <w:szCs w:val="16"/>
                <w:lang w:bidi="ru-RU"/>
              </w:rPr>
              <w:t>Зудящая сыпь,</w:t>
            </w: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 xml:space="preserve"> пятнисто-папулезная сыпь,</w:t>
            </w:r>
            <w:r w:rsidRPr="00007466">
              <w:rPr>
                <w:rFonts w:eastAsia="Times New Roman" w:cs="Calibri"/>
                <w:sz w:val="16"/>
                <w:szCs w:val="16"/>
                <w:lang w:bidi="ru-RU"/>
              </w:rPr>
              <w:t xml:space="preserve"> генерализованная сыпь,</w:t>
            </w:r>
            <w:r w:rsidRPr="00007466"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007466">
              <w:rPr>
                <w:rFonts w:eastAsia="Times New Roman" w:cs="Calibri"/>
                <w:sz w:val="16"/>
                <w:szCs w:val="16"/>
                <w:lang w:bidi="ru-RU"/>
              </w:rPr>
              <w:t>акнеиформный дерматит, эритема, пятнистая сыпь, папулезная сыпь,</w:t>
            </w:r>
            <w:r w:rsidR="007F2758" w:rsidRPr="00007466">
              <w:rPr>
                <w:rFonts w:eastAsia="Times New Roman" w:cs="Calibri"/>
                <w:sz w:val="16"/>
                <w:szCs w:val="16"/>
                <w:lang w:bidi="ru-RU"/>
              </w:rPr>
              <w:t xml:space="preserve"> </w:t>
            </w:r>
            <w:r w:rsidRPr="00007466">
              <w:rPr>
                <w:rFonts w:eastAsia="Times New Roman" w:cs="Calibri"/>
                <w:sz w:val="16"/>
                <w:szCs w:val="16"/>
                <w:lang w:bidi="ru-RU"/>
              </w:rPr>
              <w:t>эритематозная сыпь, дерматит,</w:t>
            </w:r>
            <w:r w:rsidR="007F2758" w:rsidRPr="00007466">
              <w:rPr>
                <w:rFonts w:eastAsia="Times New Roman" w:cs="Calibri"/>
                <w:sz w:val="16"/>
                <w:szCs w:val="16"/>
                <w:lang w:bidi="ru-RU"/>
              </w:rPr>
              <w:t xml:space="preserve"> </w:t>
            </w:r>
            <w:r w:rsidRPr="00007466">
              <w:rPr>
                <w:rFonts w:eastAsia="Times New Roman" w:cs="Calibri"/>
                <w:sz w:val="16"/>
                <w:szCs w:val="16"/>
                <w:lang w:bidi="ru-RU"/>
              </w:rPr>
              <w:t>экзема, генерализованная сыпь</w:t>
            </w:r>
          </w:p>
        </w:tc>
      </w:tr>
      <w:tr w:rsidR="00975C8B" w:rsidRPr="00007466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i/>
                <w:sz w:val="16"/>
                <w:szCs w:val="16"/>
                <w:lang w:bidi="ru-RU"/>
              </w:rPr>
              <w:t>Нарушения со стороны костно-мышечной и соединительной ткани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Очень 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Боль в спине, артралгия, миалгия</w:t>
            </w:r>
          </w:p>
        </w:tc>
      </w:tr>
      <w:tr w:rsidR="00975C8B" w:rsidRPr="00007466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i/>
                <w:sz w:val="16"/>
                <w:szCs w:val="16"/>
                <w:lang w:bidi="ru-RU"/>
              </w:rPr>
              <w:t>Нарушения со стороны почек и мочевыводящих путей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567"/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Times New Roman" w:cs="Calibri"/>
                <w:sz w:val="16"/>
                <w:szCs w:val="16"/>
                <w:lang w:bidi="ru-RU"/>
              </w:rPr>
              <w:t>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7F2758" w:rsidP="007F2758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</w:rPr>
              <w:t>О</w:t>
            </w:r>
            <w:r w:rsidR="00AD6E06" w:rsidRPr="00007466">
              <w:rPr>
                <w:rFonts w:eastAsia="Calibri" w:cs="Calibri"/>
                <w:sz w:val="16"/>
                <w:szCs w:val="16"/>
              </w:rPr>
              <w:t>страя почечная недостаточность</w:t>
            </w:r>
          </w:p>
        </w:tc>
      </w:tr>
      <w:tr w:rsidR="00975C8B" w:rsidRPr="00007466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i/>
                <w:sz w:val="16"/>
                <w:szCs w:val="16"/>
                <w:lang w:bidi="ru-RU"/>
              </w:rPr>
              <w:t>Общие расстройства и нарушения в месте введения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Очень 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 w:rsidP="007F2758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Утомляемость, озноб, астения, повышение температуры тела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567"/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Times New Roman" w:cs="Calibri"/>
                <w:sz w:val="16"/>
                <w:szCs w:val="16"/>
                <w:lang w:bidi="ru-RU"/>
              </w:rPr>
              <w:t>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7F2758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Г</w:t>
            </w:r>
            <w:r w:rsidR="00AD6E06" w:rsidRPr="00007466">
              <w:rPr>
                <w:rFonts w:eastAsia="Calibri" w:cs="Calibri"/>
                <w:sz w:val="16"/>
                <w:szCs w:val="16"/>
                <w:lang w:bidi="ru-RU"/>
              </w:rPr>
              <w:t>риппоподобное заболевание, периферические отеки</w:t>
            </w:r>
          </w:p>
        </w:tc>
      </w:tr>
      <w:tr w:rsidR="00975C8B" w:rsidRPr="00007466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i/>
                <w:sz w:val="16"/>
                <w:szCs w:val="16"/>
                <w:lang w:bidi="ru-RU"/>
              </w:rPr>
              <w:t>Влияние на результаты лабораторных и инструментальных исследований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Очень 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 w:rsidP="007F2758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Снижение массы тела, повышение уровней АСТ, АЛТ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 w:rsidP="007F2758">
            <w:pPr>
              <w:pStyle w:val="Standard"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Повышение концентрации креатинина крови, активности амилазы, липазы, гамма-глутамилтрансферазы, щелочной фосфатазы, креатинфосфокиназы, трансаминаз, понижение концентрации тиреотропного гормона</w:t>
            </w:r>
          </w:p>
        </w:tc>
      </w:tr>
      <w:tr w:rsidR="00975C8B" w:rsidRPr="00007466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i/>
                <w:sz w:val="16"/>
                <w:szCs w:val="16"/>
                <w:lang w:bidi="ru-RU"/>
              </w:rPr>
              <w:t>Травмы, интоксикации и осложнения манипуляции</w:t>
            </w:r>
          </w:p>
        </w:tc>
      </w:tr>
      <w:tr w:rsidR="00975C8B" w:rsidRPr="00007466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567"/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Times New Roman" w:cs="Calibri"/>
                <w:sz w:val="16"/>
                <w:szCs w:val="16"/>
                <w:lang w:bidi="ru-RU"/>
              </w:rPr>
              <w:t>Очень часто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8B" w:rsidRPr="00007466" w:rsidRDefault="00AD6E06">
            <w:pPr>
              <w:pStyle w:val="Standard"/>
              <w:keepNext/>
              <w:tabs>
                <w:tab w:val="left" w:pos="10206"/>
              </w:tabs>
              <w:spacing w:after="0" w:line="360" w:lineRule="auto"/>
              <w:jc w:val="both"/>
            </w:pPr>
            <w:r w:rsidRPr="00007466">
              <w:rPr>
                <w:rFonts w:eastAsia="Calibri" w:cs="Calibri"/>
                <w:sz w:val="16"/>
                <w:szCs w:val="16"/>
                <w:lang w:bidi="ru-RU"/>
              </w:rPr>
              <w:t>Инфузионные реакции</w:t>
            </w:r>
          </w:p>
        </w:tc>
      </w:tr>
    </w:tbl>
    <w:p w:rsidR="00975C8B" w:rsidRPr="00007466" w:rsidRDefault="00AD6E06">
      <w:pPr>
        <w:pStyle w:val="Standard"/>
        <w:keepNext/>
        <w:keepLines/>
        <w:widowControl w:val="0"/>
        <w:spacing w:before="360" w:after="0" w:line="276" w:lineRule="auto"/>
        <w:jc w:val="both"/>
        <w:outlineLvl w:val="2"/>
      </w:pPr>
      <w:r w:rsidRPr="00007466">
        <w:rPr>
          <w:rFonts w:eastAsia="Arial" w:cs="Calibri"/>
          <w:b/>
          <w:bCs/>
          <w:color w:val="231F20"/>
          <w:sz w:val="16"/>
          <w:szCs w:val="16"/>
          <w:lang w:eastAsia="ru-RU" w:bidi="ru-RU"/>
        </w:rPr>
        <w:t>Особые указания</w:t>
      </w:r>
    </w:p>
    <w:p w:rsidR="00975C8B" w:rsidRPr="00007466" w:rsidRDefault="00AD6E06">
      <w:pPr>
        <w:pStyle w:val="Standard"/>
        <w:tabs>
          <w:tab w:val="left" w:pos="10206"/>
        </w:tabs>
        <w:spacing w:after="0" w:line="276" w:lineRule="auto"/>
        <w:ind w:right="50"/>
        <w:jc w:val="both"/>
      </w:pPr>
      <w:r w:rsidRPr="00007466">
        <w:rPr>
          <w:rFonts w:eastAsia="Times New Roman" w:cs="Calibri"/>
          <w:bCs/>
          <w:i/>
          <w:sz w:val="16"/>
          <w:szCs w:val="16"/>
          <w:u w:val="single"/>
        </w:rPr>
        <w:t>Инфузионные реакции</w:t>
      </w:r>
    </w:p>
    <w:p w:rsidR="00975C8B" w:rsidRPr="00007466" w:rsidRDefault="00AD6E06">
      <w:pPr>
        <w:pStyle w:val="Standard"/>
        <w:tabs>
          <w:tab w:val="left" w:pos="10206"/>
        </w:tabs>
        <w:spacing w:after="0" w:line="276" w:lineRule="auto"/>
        <w:ind w:right="50"/>
        <w:jc w:val="both"/>
      </w:pPr>
      <w:r w:rsidRPr="00007466">
        <w:rPr>
          <w:rFonts w:eastAsia="Times New Roman" w:cs="Calibri"/>
          <w:bCs/>
          <w:sz w:val="16"/>
          <w:szCs w:val="16"/>
        </w:rPr>
        <w:t>У пациентов, получающих препарат БАВЕНСИО®, были зарегистрированы инфузионные реакции, часть из которых были тяжелыми. У</w:t>
      </w:r>
      <w:r w:rsidR="00B0385F" w:rsidRPr="00007466">
        <w:rPr>
          <w:rFonts w:eastAsia="Times New Roman" w:cs="Calibri"/>
          <w:bCs/>
          <w:sz w:val="16"/>
          <w:szCs w:val="16"/>
        </w:rPr>
        <w:t> </w:t>
      </w:r>
      <w:r w:rsidRPr="00007466">
        <w:rPr>
          <w:rFonts w:eastAsia="Times New Roman" w:cs="Calibri"/>
          <w:bCs/>
          <w:sz w:val="16"/>
          <w:szCs w:val="16"/>
        </w:rPr>
        <w:t>пациентов следует контролировать появление симптомов и признаков инфузионных реакций, в том числе повышения температуры тела, озноба, покраснения кожи, снижения артериального давления, одышки, свистящего дыхания, боли в спине, боли в животе и сыпи. При развитии инфузионных реакций 3-й и 4-й степени тяжести следует прекратить инфузию и отменить препарат БАВЕНСИО®.</w:t>
      </w:r>
    </w:p>
    <w:p w:rsidR="00975C8B" w:rsidRPr="00007466" w:rsidRDefault="00AD6E06">
      <w:pPr>
        <w:pStyle w:val="Standard"/>
        <w:tabs>
          <w:tab w:val="left" w:pos="10206"/>
        </w:tabs>
        <w:spacing w:after="0" w:line="276" w:lineRule="auto"/>
        <w:ind w:right="50"/>
        <w:jc w:val="both"/>
      </w:pPr>
      <w:r w:rsidRPr="00007466">
        <w:rPr>
          <w:rFonts w:eastAsia="Times New Roman" w:cs="Calibri"/>
          <w:bCs/>
          <w:i/>
          <w:sz w:val="16"/>
          <w:szCs w:val="16"/>
          <w:u w:val="single"/>
        </w:rPr>
        <w:t>Иммуноопосредованные реакции</w:t>
      </w:r>
    </w:p>
    <w:p w:rsidR="00975C8B" w:rsidRPr="00007466" w:rsidRDefault="00AD6E06">
      <w:pPr>
        <w:pStyle w:val="Standard"/>
        <w:tabs>
          <w:tab w:val="left" w:pos="10206"/>
        </w:tabs>
        <w:spacing w:after="0" w:line="276" w:lineRule="auto"/>
        <w:ind w:right="50"/>
        <w:jc w:val="both"/>
      </w:pPr>
      <w:r w:rsidRPr="00007466">
        <w:rPr>
          <w:rFonts w:eastAsia="Times New Roman" w:cs="Calibri"/>
          <w:bCs/>
          <w:sz w:val="16"/>
          <w:szCs w:val="16"/>
        </w:rPr>
        <w:lastRenderedPageBreak/>
        <w:t>Большинство иммуноопосредованных нежелательных реакций на фоне приема препарата БАВЕНСИО</w:t>
      </w:r>
      <w:r w:rsidRPr="00007466">
        <w:rPr>
          <w:rFonts w:eastAsia="Times New Roman" w:cs="Calibri"/>
          <w:bCs/>
          <w:sz w:val="16"/>
          <w:szCs w:val="16"/>
          <w:vertAlign w:val="superscript"/>
        </w:rPr>
        <w:t>®</w:t>
      </w:r>
      <w:r w:rsidRPr="00007466">
        <w:rPr>
          <w:rFonts w:eastAsia="Times New Roman" w:cs="Calibri"/>
          <w:bCs/>
          <w:sz w:val="16"/>
          <w:szCs w:val="16"/>
        </w:rPr>
        <w:t xml:space="preserve"> были обратимыми и прекращались после кратковременного или длительного прерывания терапии </w:t>
      </w:r>
      <w:bookmarkStart w:id="1" w:name="_Hlk511158377"/>
      <w:r w:rsidRPr="00007466">
        <w:rPr>
          <w:rFonts w:eastAsia="Times New Roman" w:cs="Calibri"/>
          <w:bCs/>
          <w:sz w:val="16"/>
          <w:szCs w:val="16"/>
        </w:rPr>
        <w:t>препаратом БАВЕНСИО</w:t>
      </w:r>
      <w:r w:rsidRPr="00007466">
        <w:rPr>
          <w:rFonts w:eastAsia="Times New Roman" w:cs="Calibri"/>
          <w:bCs/>
          <w:sz w:val="16"/>
          <w:szCs w:val="16"/>
          <w:vertAlign w:val="superscript"/>
        </w:rPr>
        <w:t>®</w:t>
      </w:r>
      <w:bookmarkEnd w:id="1"/>
      <w:r w:rsidRPr="00007466">
        <w:rPr>
          <w:rFonts w:eastAsia="Times New Roman" w:cs="Calibri"/>
          <w:bCs/>
          <w:sz w:val="16"/>
          <w:szCs w:val="16"/>
        </w:rPr>
        <w:t>, применения кортикостероидов и</w:t>
      </w:r>
      <w:r w:rsidR="00B0385F" w:rsidRPr="00007466">
        <w:rPr>
          <w:rFonts w:eastAsia="Times New Roman" w:cs="Calibri"/>
          <w:bCs/>
          <w:sz w:val="16"/>
          <w:szCs w:val="16"/>
        </w:rPr>
        <w:t> (</w:t>
      </w:r>
      <w:r w:rsidRPr="00007466">
        <w:rPr>
          <w:rFonts w:eastAsia="Times New Roman" w:cs="Calibri"/>
          <w:bCs/>
          <w:sz w:val="16"/>
          <w:szCs w:val="16"/>
        </w:rPr>
        <w:t>или</w:t>
      </w:r>
      <w:r w:rsidR="00B0385F" w:rsidRPr="00007466">
        <w:rPr>
          <w:rFonts w:eastAsia="Times New Roman" w:cs="Calibri"/>
          <w:bCs/>
          <w:sz w:val="16"/>
          <w:szCs w:val="16"/>
        </w:rPr>
        <w:t>)</w:t>
      </w:r>
      <w:r w:rsidRPr="00007466">
        <w:rPr>
          <w:rFonts w:eastAsia="Times New Roman" w:cs="Calibri"/>
          <w:bCs/>
          <w:sz w:val="16"/>
          <w:szCs w:val="16"/>
        </w:rPr>
        <w:t xml:space="preserve"> поддерживающей терапии.</w:t>
      </w:r>
    </w:p>
    <w:p w:rsidR="00975C8B" w:rsidRPr="00007466" w:rsidRDefault="00975C8B">
      <w:pPr>
        <w:pStyle w:val="Standard"/>
        <w:tabs>
          <w:tab w:val="left" w:pos="10206"/>
        </w:tabs>
        <w:spacing w:after="0" w:line="276" w:lineRule="auto"/>
        <w:ind w:right="50"/>
        <w:jc w:val="both"/>
        <w:rPr>
          <w:rFonts w:eastAsia="Times New Roman" w:cs="Calibri"/>
          <w:bCs/>
          <w:sz w:val="16"/>
          <w:szCs w:val="16"/>
        </w:rPr>
      </w:pPr>
    </w:p>
    <w:p w:rsidR="00975C8B" w:rsidRPr="00007466" w:rsidRDefault="00AD6E06">
      <w:pPr>
        <w:pStyle w:val="Standard"/>
        <w:tabs>
          <w:tab w:val="left" w:pos="10206"/>
        </w:tabs>
        <w:spacing w:after="0" w:line="276" w:lineRule="auto"/>
        <w:ind w:right="50"/>
        <w:jc w:val="both"/>
      </w:pPr>
      <w:r w:rsidRPr="00007466">
        <w:rPr>
          <w:rFonts w:eastAsia="Times New Roman" w:cs="Calibri"/>
          <w:b/>
          <w:sz w:val="16"/>
          <w:szCs w:val="16"/>
        </w:rPr>
        <w:t>Влияние на способность управлять транспортными средствами и механизмами</w:t>
      </w:r>
    </w:p>
    <w:p w:rsidR="00975C8B" w:rsidRPr="00007466" w:rsidRDefault="00AD6E06">
      <w:pPr>
        <w:pStyle w:val="Standard"/>
        <w:tabs>
          <w:tab w:val="left" w:pos="10206"/>
        </w:tabs>
        <w:spacing w:after="0" w:line="276" w:lineRule="auto"/>
        <w:ind w:right="50"/>
        <w:jc w:val="both"/>
      </w:pPr>
      <w:r w:rsidRPr="00007466">
        <w:rPr>
          <w:rFonts w:eastAsia="Times New Roman" w:cs="Calibri"/>
          <w:bCs/>
          <w:sz w:val="16"/>
          <w:szCs w:val="16"/>
        </w:rPr>
        <w:t>Препарат Бавенсио® оказывает незначительное влияние на способность управлять транспортными средствами. На фоне применения препарата Бавенсио® была зарегистрирована утомляемость. Пациентам рекомендуется соблюдать осторожность при вождении автотранспорта или работе с механизмами, пока они не убедятся, что препарат Бавенсио® не вызывает нежелательной реакции.</w:t>
      </w:r>
    </w:p>
    <w:p w:rsidR="00975C8B" w:rsidRPr="00007466" w:rsidRDefault="00975C8B">
      <w:pPr>
        <w:pStyle w:val="Standard"/>
        <w:tabs>
          <w:tab w:val="left" w:pos="10206"/>
        </w:tabs>
        <w:spacing w:after="0" w:line="276" w:lineRule="auto"/>
        <w:ind w:right="50"/>
        <w:jc w:val="both"/>
        <w:rPr>
          <w:rFonts w:eastAsia="Times New Roman" w:cs="Calibri"/>
          <w:b/>
          <w:sz w:val="16"/>
          <w:szCs w:val="16"/>
        </w:rPr>
      </w:pPr>
    </w:p>
    <w:p w:rsidR="00975C8B" w:rsidRPr="00007466" w:rsidRDefault="00975C8B">
      <w:pPr>
        <w:pStyle w:val="Standard"/>
        <w:spacing w:after="0" w:line="276" w:lineRule="auto"/>
        <w:jc w:val="both"/>
        <w:rPr>
          <w:rFonts w:cs="Calibri"/>
          <w:sz w:val="16"/>
          <w:szCs w:val="16"/>
        </w:rPr>
      </w:pPr>
    </w:p>
    <w:p w:rsidR="00975C8B" w:rsidRPr="00007466" w:rsidRDefault="00AD6E06">
      <w:pPr>
        <w:pStyle w:val="Standard"/>
        <w:spacing w:after="0" w:line="276" w:lineRule="auto"/>
        <w:jc w:val="both"/>
      </w:pPr>
      <w:r w:rsidRPr="00007466">
        <w:rPr>
          <w:rFonts w:eastAsia="Times New Roman" w:cs="Calibri"/>
          <w:b/>
          <w:sz w:val="16"/>
          <w:szCs w:val="16"/>
        </w:rPr>
        <w:t>Ознакомьтесь с полной информацией в инструкции по применению лекарственного препарата для медицинского применения Бавенсио®</w:t>
      </w:r>
    </w:p>
    <w:p w:rsidR="00975C8B" w:rsidRPr="00007466" w:rsidRDefault="00975C8B">
      <w:pPr>
        <w:pStyle w:val="Standard"/>
        <w:spacing w:after="0" w:line="276" w:lineRule="auto"/>
        <w:jc w:val="both"/>
        <w:rPr>
          <w:rFonts w:eastAsia="Times New Roman" w:cs="Calibri"/>
          <w:bCs/>
          <w:sz w:val="16"/>
          <w:szCs w:val="16"/>
        </w:rPr>
      </w:pPr>
    </w:p>
    <w:p w:rsidR="00975C8B" w:rsidRPr="00007466" w:rsidRDefault="00AD6E06">
      <w:pPr>
        <w:pStyle w:val="Standard"/>
        <w:spacing w:after="0" w:line="276" w:lineRule="auto"/>
        <w:jc w:val="both"/>
      </w:pPr>
      <w:r w:rsidRPr="00007466">
        <w:rPr>
          <w:rFonts w:eastAsia="Arial" w:cs="Calibri"/>
          <w:b/>
          <w:bCs/>
          <w:color w:val="231F20"/>
          <w:sz w:val="16"/>
          <w:szCs w:val="16"/>
          <w:shd w:val="clear" w:color="auto" w:fill="C0C0C0"/>
          <w:lang w:eastAsia="ru-RU" w:bidi="ru-RU"/>
        </w:rPr>
        <w:t>Претензии потребителей и информацию о нежелательных явлениях следует направлять по адресу:</w:t>
      </w:r>
      <w:r w:rsidRPr="00007466">
        <w:rPr>
          <w:rFonts w:eastAsia="Arial" w:cs="Calibri"/>
          <w:b/>
          <w:bCs/>
          <w:color w:val="000000"/>
          <w:sz w:val="16"/>
          <w:szCs w:val="16"/>
          <w:lang w:eastAsia="ru-RU" w:bidi="ru-RU"/>
        </w:rPr>
        <w:t xml:space="preserve"> </w:t>
      </w:r>
    </w:p>
    <w:p w:rsidR="00975C8B" w:rsidRPr="00007466" w:rsidRDefault="00AD6E06">
      <w:pPr>
        <w:pStyle w:val="Standard"/>
        <w:widowControl w:val="0"/>
        <w:tabs>
          <w:tab w:val="left" w:pos="10206"/>
        </w:tabs>
        <w:spacing w:after="0" w:line="276" w:lineRule="auto"/>
        <w:ind w:right="50"/>
        <w:jc w:val="both"/>
        <w:outlineLvl w:val="2"/>
      </w:pPr>
      <w:r w:rsidRPr="00007466">
        <w:rPr>
          <w:rFonts w:eastAsia="Times New Roman" w:cs="Calibri"/>
          <w:sz w:val="16"/>
          <w:szCs w:val="16"/>
        </w:rPr>
        <w:t>ООО «Мерк», 115054, г. Москва, ул. Валовая, д. 35</w:t>
      </w:r>
      <w:r w:rsidR="00B0385F" w:rsidRPr="00007466">
        <w:rPr>
          <w:rFonts w:eastAsia="Times New Roman" w:cs="Calibri"/>
          <w:sz w:val="16"/>
          <w:szCs w:val="16"/>
        </w:rPr>
        <w:t xml:space="preserve">. </w:t>
      </w:r>
      <w:r w:rsidRPr="00007466">
        <w:rPr>
          <w:rFonts w:eastAsia="Times New Roman" w:cs="Calibri"/>
          <w:sz w:val="16"/>
          <w:szCs w:val="16"/>
        </w:rPr>
        <w:t>Тел.: +7</w:t>
      </w:r>
      <w:r w:rsidR="00B0385F" w:rsidRPr="00007466">
        <w:rPr>
          <w:rFonts w:eastAsia="Times New Roman" w:cs="Calibri"/>
          <w:sz w:val="16"/>
          <w:szCs w:val="16"/>
        </w:rPr>
        <w:t xml:space="preserve"> </w:t>
      </w:r>
      <w:r w:rsidRPr="00007466">
        <w:rPr>
          <w:rFonts w:eastAsia="Times New Roman" w:cs="Calibri"/>
          <w:sz w:val="16"/>
          <w:szCs w:val="16"/>
        </w:rPr>
        <w:t>(495) 937 33 04</w:t>
      </w:r>
      <w:r w:rsidR="00B0385F" w:rsidRPr="00007466">
        <w:rPr>
          <w:rFonts w:eastAsia="Times New Roman" w:cs="Calibri"/>
          <w:sz w:val="16"/>
          <w:szCs w:val="16"/>
        </w:rPr>
        <w:t>.</w:t>
      </w:r>
    </w:p>
    <w:p w:rsidR="00975C8B" w:rsidRPr="00007466" w:rsidRDefault="00AD6E06">
      <w:pPr>
        <w:pStyle w:val="Standard"/>
        <w:widowControl w:val="0"/>
        <w:tabs>
          <w:tab w:val="left" w:pos="10206"/>
        </w:tabs>
        <w:spacing w:after="0" w:line="276" w:lineRule="auto"/>
        <w:ind w:right="50"/>
        <w:jc w:val="both"/>
        <w:outlineLvl w:val="2"/>
      </w:pPr>
      <w:r w:rsidRPr="00007466">
        <w:rPr>
          <w:rFonts w:eastAsia="Times New Roman" w:cs="Calibri"/>
          <w:sz w:val="16"/>
          <w:szCs w:val="16"/>
        </w:rPr>
        <w:t>Факс: +7(495) 937 33 05,</w:t>
      </w:r>
      <w:r w:rsidRPr="00007466">
        <w:rPr>
          <w:rFonts w:eastAsia="Times New Roman" w:cs="Calibri"/>
          <w:b/>
          <w:sz w:val="16"/>
          <w:szCs w:val="16"/>
        </w:rPr>
        <w:t xml:space="preserve"> </w:t>
      </w:r>
      <w:r w:rsidRPr="00007466">
        <w:rPr>
          <w:rFonts w:eastAsia="Times New Roman" w:cs="Calibri"/>
          <w:sz w:val="16"/>
          <w:szCs w:val="16"/>
          <w:lang w:val="en-US"/>
        </w:rPr>
        <w:t>e</w:t>
      </w:r>
      <w:r w:rsidRPr="00007466">
        <w:rPr>
          <w:rFonts w:eastAsia="Times New Roman" w:cs="Calibri"/>
          <w:sz w:val="16"/>
          <w:szCs w:val="16"/>
        </w:rPr>
        <w:t>-</w:t>
      </w:r>
      <w:r w:rsidRPr="00007466">
        <w:rPr>
          <w:rFonts w:eastAsia="Times New Roman" w:cs="Calibri"/>
          <w:sz w:val="16"/>
          <w:szCs w:val="16"/>
          <w:lang w:val="en-US"/>
        </w:rPr>
        <w:t>mail</w:t>
      </w:r>
      <w:r w:rsidRPr="00007466">
        <w:rPr>
          <w:rFonts w:eastAsia="Times New Roman" w:cs="Calibri"/>
          <w:sz w:val="16"/>
          <w:szCs w:val="16"/>
        </w:rPr>
        <w:t xml:space="preserve">: </w:t>
      </w:r>
      <w:hyperlink r:id="rId7" w:history="1">
        <w:r w:rsidRPr="00007466">
          <w:rPr>
            <w:rFonts w:cs="Calibri"/>
            <w:sz w:val="16"/>
            <w:szCs w:val="16"/>
            <w:lang w:val="en-US"/>
          </w:rPr>
          <w:t>safety</w:t>
        </w:r>
        <w:r w:rsidRPr="00007466">
          <w:rPr>
            <w:rFonts w:cs="Calibri"/>
            <w:sz w:val="16"/>
            <w:szCs w:val="16"/>
          </w:rPr>
          <w:t>@</w:t>
        </w:r>
        <w:r w:rsidRPr="00007466">
          <w:rPr>
            <w:rFonts w:cs="Calibri"/>
            <w:sz w:val="16"/>
            <w:szCs w:val="16"/>
            <w:lang w:val="en-US"/>
          </w:rPr>
          <w:t>merck</w:t>
        </w:r>
        <w:r w:rsidRPr="00007466">
          <w:rPr>
            <w:rFonts w:cs="Calibri"/>
            <w:sz w:val="16"/>
            <w:szCs w:val="16"/>
          </w:rPr>
          <w:t>.</w:t>
        </w:r>
        <w:r w:rsidRPr="00007466">
          <w:rPr>
            <w:rFonts w:cs="Calibri"/>
            <w:sz w:val="16"/>
            <w:szCs w:val="16"/>
            <w:lang w:val="en-US"/>
          </w:rPr>
          <w:t>ru</w:t>
        </w:r>
      </w:hyperlink>
      <w:r w:rsidRPr="00007466">
        <w:rPr>
          <w:rFonts w:eastAsia="Times New Roman" w:cs="Calibri"/>
          <w:sz w:val="16"/>
          <w:szCs w:val="16"/>
        </w:rPr>
        <w:t xml:space="preserve"> </w:t>
      </w:r>
    </w:p>
    <w:p w:rsidR="00975C8B" w:rsidRPr="00007466" w:rsidRDefault="00AD6E06">
      <w:pPr>
        <w:pStyle w:val="a8"/>
      </w:pPr>
      <w:r w:rsidRPr="00007466">
        <w:rPr>
          <w:rFonts w:eastAsia="Times New Roman" w:cs="Calibri"/>
          <w:sz w:val="16"/>
          <w:szCs w:val="16"/>
        </w:rPr>
        <w:t>(</w:t>
      </w:r>
      <w:r w:rsidRPr="00007466">
        <w:rPr>
          <w:rFonts w:cs="Calibri"/>
          <w:sz w:val="16"/>
          <w:szCs w:val="16"/>
        </w:rPr>
        <w:t>SmPC ver. Updated 20 June 2019</w:t>
      </w:r>
      <w:r w:rsidRPr="00007466">
        <w:rPr>
          <w:rFonts w:eastAsia="Times New Roman" w:cs="Calibri"/>
          <w:sz w:val="16"/>
          <w:szCs w:val="16"/>
        </w:rPr>
        <w:t>)</w:t>
      </w:r>
    </w:p>
    <w:p w:rsidR="00975C8B" w:rsidRPr="00007466" w:rsidRDefault="00975C8B">
      <w:pPr>
        <w:pStyle w:val="Standard"/>
        <w:tabs>
          <w:tab w:val="center" w:pos="4844"/>
          <w:tab w:val="right" w:pos="9689"/>
          <w:tab w:val="left" w:pos="10206"/>
        </w:tabs>
        <w:spacing w:after="0" w:line="276" w:lineRule="auto"/>
        <w:jc w:val="both"/>
      </w:pPr>
    </w:p>
    <w:sectPr w:rsidR="00975C8B" w:rsidRPr="0000746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329" w:rsidRDefault="00C10329">
      <w:pPr>
        <w:spacing w:after="0" w:line="240" w:lineRule="auto"/>
      </w:pPr>
      <w:r>
        <w:separator/>
      </w:r>
    </w:p>
  </w:endnote>
  <w:endnote w:type="continuationSeparator" w:id="0">
    <w:p w:rsidR="00C10329" w:rsidRDefault="00C1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329" w:rsidRDefault="00C103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0329" w:rsidRDefault="00C1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DFB"/>
    <w:multiLevelType w:val="multilevel"/>
    <w:tmpl w:val="32843E5C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 w15:restartNumberingAfterBreak="0">
    <w:nsid w:val="61F25072"/>
    <w:multiLevelType w:val="multilevel"/>
    <w:tmpl w:val="B156D1E0"/>
    <w:styleLink w:val="WWNum2"/>
    <w:lvl w:ilvl="0">
      <w:numFmt w:val="bullet"/>
      <w:lvlText w:val="-"/>
      <w:lvlJc w:val="left"/>
      <w:rPr>
        <w:rFonts w:ascii="Times New Roman" w:hAnsi="Times New Roman" w:cs="Times New Roman"/>
        <w:i/>
        <w:color w:val="494949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5C8B"/>
    <w:rsid w:val="00007466"/>
    <w:rsid w:val="00050AF3"/>
    <w:rsid w:val="0005775A"/>
    <w:rsid w:val="0007759F"/>
    <w:rsid w:val="004B312F"/>
    <w:rsid w:val="00631F43"/>
    <w:rsid w:val="0073334B"/>
    <w:rsid w:val="007F2758"/>
    <w:rsid w:val="00975C8B"/>
    <w:rsid w:val="00AD6E06"/>
    <w:rsid w:val="00B0385F"/>
    <w:rsid w:val="00C1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1B62"/>
  <w15:docId w15:val="{F76F2F7C-CC2B-4587-ADCD-18DC0970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header"/>
    <w:basedOn w:val="Standard"/>
    <w:pPr>
      <w:suppressLineNumbers/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BalloonTextChar">
    <w:name w:val="Balloon Text Char"/>
    <w:basedOn w:val="a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position w:val="0"/>
      <w:sz w:val="13"/>
      <w:szCs w:val="13"/>
      <w:u w:val="none"/>
      <w:vertAlign w:val="subscript"/>
      <w:lang w:val="ru-RU" w:eastAsia="ru-RU" w:bidi="ru-RU"/>
    </w:rPr>
  </w:style>
  <w:style w:type="character" w:customStyle="1" w:styleId="HeaderChar">
    <w:name w:val="Header Char"/>
    <w:basedOn w:val="a0"/>
    <w:rPr>
      <w:lang w:val="en-US"/>
    </w:rPr>
  </w:style>
  <w:style w:type="character" w:customStyle="1" w:styleId="A00">
    <w:name w:val="A0"/>
    <w:rPr>
      <w:rFonts w:cs="Myriad Pro"/>
      <w:color w:val="C9064F"/>
      <w:sz w:val="9"/>
      <w:szCs w:val="9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i/>
      <w:color w:val="494949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fety@merc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Voloshin</dc:creator>
  <cp:lastModifiedBy>Marketing</cp:lastModifiedBy>
  <cp:revision>4</cp:revision>
  <dcterms:created xsi:type="dcterms:W3CDTF">2021-02-09T09:45:00Z</dcterms:created>
  <dcterms:modified xsi:type="dcterms:W3CDTF">2021-02-12T08:07:00Z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